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249" w:rsidRPr="00A13249" w:rsidRDefault="00A13249" w:rsidP="00A13249">
      <w:pPr>
        <w:spacing w:before="0" w:after="240"/>
        <w:rPr>
          <w:b/>
          <w:szCs w:val="20"/>
          <w:u w:val="single"/>
        </w:rPr>
      </w:pPr>
      <w:bookmarkStart w:id="0" w:name="_GoBack"/>
      <w:bookmarkEnd w:id="0"/>
      <w:r w:rsidRPr="00A13249">
        <w:rPr>
          <w:b/>
          <w:szCs w:val="20"/>
          <w:u w:val="single"/>
        </w:rPr>
        <w:t>Business Plan Guidelines for Investment Managers</w:t>
      </w:r>
    </w:p>
    <w:p w:rsidR="00A13249" w:rsidRPr="00A13249" w:rsidRDefault="00A13249" w:rsidP="00A13249">
      <w:pPr>
        <w:pStyle w:val="ListParagraph"/>
        <w:numPr>
          <w:ilvl w:val="0"/>
          <w:numId w:val="9"/>
        </w:numPr>
        <w:ind w:left="567" w:hanging="567"/>
        <w:jc w:val="both"/>
        <w:rPr>
          <w:rFonts w:ascii="Arial" w:hAnsi="Arial" w:cs="Arial"/>
          <w:szCs w:val="20"/>
        </w:rPr>
      </w:pPr>
      <w:r w:rsidRPr="00A13249">
        <w:rPr>
          <w:rFonts w:ascii="Arial" w:hAnsi="Arial" w:cs="Arial"/>
          <w:szCs w:val="20"/>
        </w:rPr>
        <w:t>Provide an overview of the entity’s business operations (company profile, clientele and investment offering, Investment Platform, Future Growth, etc.), Corporate Governance Framework, Risk Management Framework, Internal Control Framework, Business Continuity Plan, Systems for Portfolio Management, Agreements with Service Providers (internal and external), Information Technology Systems, Marketing Plan, Human Resources Plan, etc.</w:t>
      </w:r>
    </w:p>
    <w:p w:rsidR="00A13249" w:rsidRPr="00A13249" w:rsidRDefault="00A13249" w:rsidP="00A13249">
      <w:pPr>
        <w:pStyle w:val="ListParagraph"/>
        <w:numPr>
          <w:ilvl w:val="0"/>
          <w:numId w:val="9"/>
        </w:numPr>
        <w:spacing w:before="240"/>
        <w:ind w:left="567" w:hanging="567"/>
        <w:jc w:val="both"/>
        <w:rPr>
          <w:rFonts w:ascii="Arial" w:hAnsi="Arial" w:cs="Arial"/>
          <w:szCs w:val="20"/>
        </w:rPr>
      </w:pPr>
      <w:r w:rsidRPr="00A13249">
        <w:rPr>
          <w:rFonts w:ascii="Arial" w:hAnsi="Arial" w:cs="Arial"/>
          <w:szCs w:val="20"/>
        </w:rPr>
        <w:t>An explanation of the management structure of the applicant including the names of the individuals responsible for the major functional areas and the number of personnel employed or to be employed in each functional area in the applicant;</w:t>
      </w:r>
    </w:p>
    <w:p w:rsidR="00A13249" w:rsidRPr="00A13249" w:rsidRDefault="00A13249" w:rsidP="00A13249">
      <w:pPr>
        <w:pStyle w:val="ListParagraph"/>
        <w:numPr>
          <w:ilvl w:val="0"/>
          <w:numId w:val="9"/>
        </w:numPr>
        <w:spacing w:before="240"/>
        <w:ind w:left="567" w:hanging="567"/>
        <w:jc w:val="both"/>
        <w:rPr>
          <w:rFonts w:ascii="Arial" w:hAnsi="Arial" w:cs="Arial"/>
          <w:szCs w:val="20"/>
        </w:rPr>
      </w:pPr>
      <w:r w:rsidRPr="00A13249">
        <w:rPr>
          <w:rFonts w:ascii="Arial" w:hAnsi="Arial" w:cs="Arial"/>
          <w:szCs w:val="20"/>
        </w:rPr>
        <w:t>The planned development of the information technology systems and infrastructure of the applicant and arrangements for their supply, management, maintenance, upgrading and security including details pertaining to the method or facility by means of which the business will be carried on;</w:t>
      </w:r>
    </w:p>
    <w:p w:rsidR="00A13249" w:rsidRPr="00A13249" w:rsidRDefault="00A13249" w:rsidP="00A13249">
      <w:pPr>
        <w:pStyle w:val="ListParagraph"/>
        <w:numPr>
          <w:ilvl w:val="0"/>
          <w:numId w:val="9"/>
        </w:numPr>
        <w:spacing w:before="240"/>
        <w:ind w:left="567" w:hanging="567"/>
        <w:jc w:val="both"/>
        <w:rPr>
          <w:rFonts w:ascii="Arial" w:hAnsi="Arial" w:cs="Arial"/>
          <w:szCs w:val="20"/>
        </w:rPr>
      </w:pPr>
      <w:r w:rsidRPr="00A13249">
        <w:rPr>
          <w:rFonts w:ascii="Arial" w:hAnsi="Arial" w:cs="Arial"/>
          <w:szCs w:val="20"/>
        </w:rPr>
        <w:t>the planned approach to qualifying, quantifying and mana</w:t>
      </w:r>
      <w:r>
        <w:rPr>
          <w:rFonts w:ascii="Arial" w:hAnsi="Arial" w:cs="Arial"/>
          <w:szCs w:val="20"/>
        </w:rPr>
        <w:t>ging risk within the applicant;</w:t>
      </w:r>
    </w:p>
    <w:p w:rsidR="00A13249" w:rsidRPr="00A13249" w:rsidRDefault="00A13249" w:rsidP="00A13249">
      <w:pPr>
        <w:pStyle w:val="ListParagraph"/>
        <w:numPr>
          <w:ilvl w:val="0"/>
          <w:numId w:val="9"/>
        </w:numPr>
        <w:spacing w:before="240"/>
        <w:ind w:left="567" w:hanging="567"/>
        <w:jc w:val="both"/>
        <w:rPr>
          <w:rFonts w:ascii="Arial" w:hAnsi="Arial" w:cs="Arial"/>
          <w:szCs w:val="20"/>
        </w:rPr>
      </w:pPr>
      <w:r w:rsidRPr="00A13249">
        <w:rPr>
          <w:rFonts w:ascii="Arial" w:hAnsi="Arial" w:cs="Arial"/>
          <w:szCs w:val="20"/>
        </w:rPr>
        <w:t>security procedures to ensure the integrity of the systems for recording transactions and the maintenance of records, the capacity of these systems in relation to the budgeted number of transactions and the back-up resources available in the event of a systems failure;</w:t>
      </w:r>
    </w:p>
    <w:p w:rsidR="00A13249" w:rsidRPr="00A13249" w:rsidRDefault="00A13249" w:rsidP="00A13249">
      <w:pPr>
        <w:pStyle w:val="ListParagraph"/>
        <w:numPr>
          <w:ilvl w:val="0"/>
          <w:numId w:val="9"/>
        </w:numPr>
        <w:spacing w:before="240"/>
        <w:ind w:left="567" w:hanging="567"/>
        <w:jc w:val="both"/>
        <w:rPr>
          <w:rFonts w:ascii="Arial" w:hAnsi="Arial" w:cs="Arial"/>
          <w:szCs w:val="20"/>
        </w:rPr>
      </w:pPr>
      <w:r w:rsidRPr="00A13249">
        <w:rPr>
          <w:rFonts w:ascii="Arial" w:hAnsi="Arial" w:cs="Arial"/>
          <w:szCs w:val="20"/>
        </w:rPr>
        <w:t>a report by the chairman confirming that the applicant has adequate systems, procedures and policies in place to protect the information, data, records and documents relating to client accounts and the affairs clients against any unauthorised access, alteration</w:t>
      </w:r>
      <w:r>
        <w:rPr>
          <w:rFonts w:ascii="Arial" w:hAnsi="Arial" w:cs="Arial"/>
          <w:szCs w:val="20"/>
        </w:rPr>
        <w:t>, destruction or dissemination;</w:t>
      </w:r>
    </w:p>
    <w:p w:rsidR="00A13249" w:rsidRPr="00A13249" w:rsidRDefault="00A13249" w:rsidP="00A13249">
      <w:pPr>
        <w:pStyle w:val="ListParagraph"/>
        <w:numPr>
          <w:ilvl w:val="0"/>
          <w:numId w:val="9"/>
        </w:numPr>
        <w:spacing w:before="240"/>
        <w:ind w:left="567" w:hanging="567"/>
        <w:jc w:val="both"/>
        <w:rPr>
          <w:rFonts w:ascii="Arial" w:hAnsi="Arial" w:cs="Arial"/>
          <w:szCs w:val="20"/>
        </w:rPr>
      </w:pPr>
      <w:proofErr w:type="gramStart"/>
      <w:r w:rsidRPr="00A13249">
        <w:rPr>
          <w:rFonts w:ascii="Arial" w:hAnsi="Arial" w:cs="Arial"/>
          <w:szCs w:val="20"/>
        </w:rPr>
        <w:t>the</w:t>
      </w:r>
      <w:proofErr w:type="gramEnd"/>
      <w:r w:rsidRPr="00A13249">
        <w:rPr>
          <w:rFonts w:ascii="Arial" w:hAnsi="Arial" w:cs="Arial"/>
          <w:szCs w:val="20"/>
        </w:rPr>
        <w:t xml:space="preserve"> arrangements in place for the effective and efficient monitoring of compliance with the Financial Intelligence Act, 13 of 2012 regarding the Know Your Client (KYC) matter.</w:t>
      </w:r>
    </w:p>
    <w:p w:rsidR="00A13249" w:rsidRPr="00A13249" w:rsidRDefault="00A13249" w:rsidP="00A13249">
      <w:pPr>
        <w:pStyle w:val="ListParagraph"/>
        <w:autoSpaceDE w:val="0"/>
        <w:autoSpaceDN w:val="0"/>
        <w:adjustRightInd w:val="0"/>
        <w:spacing w:before="120" w:after="120" w:line="276" w:lineRule="auto"/>
        <w:ind w:left="714"/>
        <w:jc w:val="both"/>
        <w:rPr>
          <w:rFonts w:ascii="Arial" w:hAnsi="Arial" w:cs="Arial"/>
          <w:szCs w:val="20"/>
        </w:rPr>
      </w:pPr>
    </w:p>
    <w:sectPr w:rsidR="00A13249" w:rsidRPr="00A132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262D5"/>
    <w:multiLevelType w:val="multilevel"/>
    <w:tmpl w:val="6536392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E91736A"/>
    <w:multiLevelType w:val="hybridMultilevel"/>
    <w:tmpl w:val="1664737E"/>
    <w:lvl w:ilvl="0" w:tplc="607A9BB0">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BF35AF"/>
    <w:multiLevelType w:val="multilevel"/>
    <w:tmpl w:val="EC9EED8C"/>
    <w:lvl w:ilvl="0">
      <w:start w:val="1"/>
      <w:numFmt w:val="decimal"/>
      <w:lvlText w:val="%1"/>
      <w:lvlJc w:val="left"/>
      <w:pPr>
        <w:ind w:left="360" w:hanging="360"/>
      </w:pPr>
      <w:rPr>
        <w:rFonts w:hint="default"/>
      </w:rPr>
    </w:lvl>
    <w:lvl w:ilvl="1">
      <w:start w:val="1"/>
      <w:numFmt w:val="decimal"/>
      <w:lvlRestart w:val="0"/>
      <w:pStyle w:val="Heading2"/>
      <w:lvlText w:val="6.%1"/>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pStyle w:val="Heading4"/>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6DFA7006"/>
    <w:multiLevelType w:val="multilevel"/>
    <w:tmpl w:val="ABDC935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2"/>
  </w:num>
  <w:num w:numId="4">
    <w:abstractNumId w:val="2"/>
  </w:num>
  <w:num w:numId="5">
    <w:abstractNumId w:val="2"/>
  </w:num>
  <w:num w:numId="6">
    <w:abstractNumId w:val="2"/>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249"/>
    <w:rsid w:val="001B5EFF"/>
    <w:rsid w:val="0045475B"/>
    <w:rsid w:val="00463DB9"/>
    <w:rsid w:val="005119B5"/>
    <w:rsid w:val="00651B83"/>
    <w:rsid w:val="006A15E7"/>
    <w:rsid w:val="00A13249"/>
    <w:rsid w:val="00BF0BF3"/>
    <w:rsid w:val="00BF4068"/>
    <w:rsid w:val="00D33F89"/>
    <w:rsid w:val="00D7282A"/>
    <w:rsid w:val="00FA4D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DB5F3-5BDD-4A6F-B36F-F74A9248F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8"/>
        <w:lang w:val="en-ZA" w:eastAsia="en-US" w:bidi="ar-SA"/>
      </w:rPr>
    </w:rPrDefault>
    <w:pPrDefault>
      <w:pPr>
        <w:spacing w:before="120" w:after="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463DB9"/>
    <w:pPr>
      <w:keepNext/>
      <w:keepLines/>
      <w:numPr>
        <w:numId w:val="7"/>
      </w:numPr>
      <w:pBdr>
        <w:bottom w:val="single" w:sz="4" w:space="1" w:color="5B9BD5" w:themeColor="accent1"/>
      </w:pBdr>
      <w:spacing w:before="400" w:after="40"/>
      <w:ind w:left="426" w:hanging="426"/>
      <w:outlineLvl w:val="0"/>
    </w:pPr>
    <w:rPr>
      <w:rFonts w:asciiTheme="majorHAnsi" w:eastAsiaTheme="majorEastAsia" w:hAnsiTheme="majorHAnsi" w:cstheme="majorBidi"/>
      <w:smallCaps/>
      <w:color w:val="2E74B5" w:themeColor="accent1" w:themeShade="BF"/>
      <w:sz w:val="36"/>
      <w:szCs w:val="36"/>
    </w:rPr>
  </w:style>
  <w:style w:type="paragraph" w:styleId="Heading2">
    <w:name w:val="heading 2"/>
    <w:basedOn w:val="Normal"/>
    <w:next w:val="Normal"/>
    <w:link w:val="Heading2Char"/>
    <w:autoRedefine/>
    <w:uiPriority w:val="9"/>
    <w:unhideWhenUsed/>
    <w:qFormat/>
    <w:rsid w:val="00463DB9"/>
    <w:pPr>
      <w:keepNext/>
      <w:keepLines/>
      <w:numPr>
        <w:ilvl w:val="1"/>
        <w:numId w:val="6"/>
      </w:numPr>
      <w:spacing w:before="160"/>
      <w:outlineLvl w:val="1"/>
    </w:pPr>
    <w:rPr>
      <w:rFonts w:asciiTheme="majorHAnsi" w:eastAsiaTheme="majorEastAsia" w:hAnsiTheme="majorHAnsi" w:cstheme="majorBidi"/>
      <w:b/>
    </w:rPr>
  </w:style>
  <w:style w:type="paragraph" w:styleId="Heading3">
    <w:name w:val="heading 3"/>
    <w:basedOn w:val="Normal"/>
    <w:next w:val="Normal"/>
    <w:link w:val="Heading3Char"/>
    <w:autoRedefine/>
    <w:uiPriority w:val="9"/>
    <w:unhideWhenUsed/>
    <w:qFormat/>
    <w:rsid w:val="00463DB9"/>
    <w:pPr>
      <w:keepNext/>
      <w:keepLines/>
      <w:numPr>
        <w:ilvl w:val="2"/>
        <w:numId w:val="8"/>
      </w:numPr>
      <w:spacing w:before="80"/>
      <w:ind w:left="1134"/>
      <w:outlineLvl w:val="2"/>
    </w:pPr>
    <w:rPr>
      <w:rFonts w:asciiTheme="majorHAnsi" w:eastAsiaTheme="majorEastAsia" w:hAnsiTheme="majorHAnsi" w:cstheme="majorBidi"/>
      <w:b/>
      <w:szCs w:val="26"/>
    </w:rPr>
  </w:style>
  <w:style w:type="paragraph" w:styleId="Heading4">
    <w:name w:val="heading 4"/>
    <w:basedOn w:val="Normal"/>
    <w:next w:val="Normal"/>
    <w:link w:val="Heading4Char"/>
    <w:autoRedefine/>
    <w:uiPriority w:val="9"/>
    <w:unhideWhenUsed/>
    <w:qFormat/>
    <w:rsid w:val="00463DB9"/>
    <w:pPr>
      <w:keepNext/>
      <w:keepLines/>
      <w:numPr>
        <w:ilvl w:val="3"/>
        <w:numId w:val="6"/>
      </w:numPr>
      <w:spacing w:before="80" w:line="264" w:lineRule="auto"/>
      <w:outlineLvl w:val="3"/>
    </w:pPr>
    <w:rPr>
      <w:rFonts w:asciiTheme="majorHAnsi" w:eastAsiaTheme="majorEastAsia" w:hAnsiTheme="majorHAnsi"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DB9"/>
    <w:rPr>
      <w:rFonts w:asciiTheme="majorHAnsi" w:eastAsiaTheme="majorEastAsia" w:hAnsiTheme="majorHAnsi" w:cstheme="majorBidi"/>
      <w:smallCaps/>
      <w:color w:val="2E74B5" w:themeColor="accent1" w:themeShade="BF"/>
      <w:sz w:val="36"/>
      <w:szCs w:val="36"/>
    </w:rPr>
  </w:style>
  <w:style w:type="character" w:customStyle="1" w:styleId="Heading2Char">
    <w:name w:val="Heading 2 Char"/>
    <w:basedOn w:val="DefaultParagraphFont"/>
    <w:link w:val="Heading2"/>
    <w:uiPriority w:val="9"/>
    <w:rsid w:val="00463DB9"/>
    <w:rPr>
      <w:rFonts w:asciiTheme="majorHAnsi" w:eastAsiaTheme="majorEastAsia" w:hAnsiTheme="majorHAnsi" w:cstheme="majorBidi"/>
      <w:b/>
    </w:rPr>
  </w:style>
  <w:style w:type="character" w:customStyle="1" w:styleId="Heading3Char">
    <w:name w:val="Heading 3 Char"/>
    <w:basedOn w:val="DefaultParagraphFont"/>
    <w:link w:val="Heading3"/>
    <w:uiPriority w:val="9"/>
    <w:rsid w:val="00463DB9"/>
    <w:rPr>
      <w:rFonts w:asciiTheme="majorHAnsi" w:eastAsiaTheme="majorEastAsia" w:hAnsiTheme="majorHAnsi" w:cstheme="majorBidi"/>
      <w:b/>
      <w:szCs w:val="26"/>
    </w:rPr>
  </w:style>
  <w:style w:type="character" w:customStyle="1" w:styleId="Heading4Char">
    <w:name w:val="Heading 4 Char"/>
    <w:basedOn w:val="DefaultParagraphFont"/>
    <w:link w:val="Heading4"/>
    <w:uiPriority w:val="9"/>
    <w:rsid w:val="00463DB9"/>
    <w:rPr>
      <w:rFonts w:asciiTheme="majorHAnsi" w:eastAsiaTheme="majorEastAsia" w:hAnsiTheme="majorHAnsi" w:cstheme="majorBidi"/>
      <w:szCs w:val="24"/>
    </w:rPr>
  </w:style>
  <w:style w:type="paragraph" w:styleId="ListParagraph">
    <w:name w:val="List Paragraph"/>
    <w:basedOn w:val="Normal"/>
    <w:uiPriority w:val="34"/>
    <w:qFormat/>
    <w:rsid w:val="00A13249"/>
    <w:pPr>
      <w:spacing w:before="0" w:after="0" w:line="240" w:lineRule="auto"/>
      <w:ind w:left="720"/>
      <w:jc w:val="left"/>
    </w:pPr>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Erago</dc:creator>
  <cp:keywords/>
  <dc:description/>
  <cp:lastModifiedBy>Linea Shitemba</cp:lastModifiedBy>
  <cp:revision>2</cp:revision>
  <dcterms:created xsi:type="dcterms:W3CDTF">2017-04-05T08:38:00Z</dcterms:created>
  <dcterms:modified xsi:type="dcterms:W3CDTF">2017-04-05T08:38:00Z</dcterms:modified>
</cp:coreProperties>
</file>